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tLeast" w:line="240"/>
        <w:jc w:val="center"/>
        <w:rPr>
          <w:b/>
          <w:bCs/>
          <w:spacing w:val="-4"/>
          <w:szCs w:val="24"/>
        </w:rPr>
      </w:pPr>
      <w:r>
        <w:rPr>
          <w:b/>
          <w:i w:val="false"/>
          <w:caps w:val="false"/>
          <w:smallCaps w:val="false"/>
          <w:color w:val="000000"/>
          <w:spacing w:val="0"/>
          <w:sz w:val="24"/>
        </w:rPr>
        <w:t>統計資料背景說明</w:t>
      </w:r>
    </w:p>
    <w:p>
      <w:pPr>
        <w:sectPr>
          <w:type w:val="nextPage"/>
          <w:pgSz w:w="11906" w:h="16838"/>
          <w:pgMar w:left="1080" w:right="1080" w:gutter="0" w:header="0" w:top="1440" w:footer="0" w:bottom="1440"/>
          <w:pgNumType w:fmt="decimal"/>
          <w:formProt w:val="false"/>
          <w:textDirection w:val="lrTb"/>
          <w:docGrid w:type="lines" w:linePitch="360" w:charSpace="0"/>
        </w:sectPr>
      </w:pPr>
    </w:p>
    <w:p>
      <w:pPr>
        <w:pStyle w:val="BodyText"/>
        <w:widowControl/>
        <w:ind w:hanging="0" w:left="0" w:right="0"/>
        <w:jc w:val="right"/>
        <w:rPr>
          <w:caps w:val="false"/>
          <w:smallCaps w:val="false"/>
          <w:color w:val="000000"/>
          <w:spacing w:val="0"/>
        </w:rPr>
      </w:pPr>
      <w:r>
        <w:rPr>
          <w:b w:val="false"/>
          <w:i w:val="false"/>
          <w:caps w:val="false"/>
          <w:smallCaps w:val="false"/>
          <w:color w:val="000000"/>
          <w:spacing w:val="0"/>
          <w:sz w:val="24"/>
        </w:rPr>
        <w:t>資料生效日期：</w:t>
      </w:r>
      <w:r>
        <w:rPr>
          <w:b w:val="false"/>
          <w:i w:val="false"/>
          <w:caps w:val="false"/>
          <w:smallCaps w:val="false"/>
          <w:color w:val="000000"/>
          <w:spacing w:val="0"/>
          <w:sz w:val="24"/>
        </w:rPr>
        <w:t>2020/01/01</w:t>
      </w:r>
    </w:p>
    <w:p>
      <w:pPr>
        <w:pStyle w:val="BodyText"/>
        <w:widowControl/>
        <w:ind w:hanging="0"/>
        <w:rPr/>
      </w:pPr>
      <w:r>
        <w:rPr/>
      </w:r>
    </w:p>
    <w:p>
      <w:pPr>
        <w:pStyle w:val="BodyText"/>
        <w:widowControl/>
        <w:ind w:hanging="0"/>
        <w:rPr>
          <w:caps w:val="false"/>
          <w:smallCaps w:val="false"/>
          <w:color w:val="000000"/>
          <w:spacing w:val="0"/>
        </w:rPr>
      </w:pPr>
      <w:r>
        <w:rPr>
          <w:b w:val="false"/>
          <w:i w:val="false"/>
          <w:caps w:val="false"/>
          <w:smallCaps w:val="false"/>
          <w:color w:val="000000"/>
          <w:spacing w:val="0"/>
          <w:sz w:val="24"/>
        </w:rPr>
        <w:t>背景資料種類中文描述：土地統計</w:t>
      </w:r>
      <w:r>
        <w:rPr>
          <w:b w:val="false"/>
          <w:i w:val="false"/>
          <w:caps w:val="false"/>
          <w:smallCaps w:val="false"/>
          <w:color w:val="000000"/>
          <w:spacing w:val="0"/>
          <w:sz w:val="24"/>
        </w:rPr>
        <w:br/>
      </w:r>
      <w:r>
        <w:rPr>
          <w:b w:val="false"/>
          <w:i w:val="false"/>
          <w:caps w:val="false"/>
          <w:smallCaps w:val="false"/>
          <w:color w:val="000000"/>
          <w:spacing w:val="0"/>
          <w:sz w:val="24"/>
        </w:rPr>
        <w:t>資料項目：花蓮縣政府民眾申辦土地登記案件替代檢附印鑑證明各項措施統計表</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一、發布及編制機關單位</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＊發布機關、單位：花蓮縣政府地政處</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＊編製單位：花蓮縣政府地政處地籍科</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＊聯絡電話：</w:t>
      </w:r>
      <w:r>
        <w:rPr>
          <w:b w:val="false"/>
          <w:i w:val="false"/>
          <w:caps w:val="false"/>
          <w:smallCaps w:val="false"/>
          <w:color w:val="000000"/>
          <w:spacing w:val="0"/>
          <w:sz w:val="24"/>
        </w:rPr>
        <w:t>03-8227171</w:t>
      </w:r>
      <w:r>
        <w:rPr>
          <w:b w:val="false"/>
          <w:i w:val="false"/>
          <w:caps w:val="false"/>
          <w:smallCaps w:val="false"/>
          <w:color w:val="000000"/>
          <w:spacing w:val="0"/>
          <w:sz w:val="24"/>
        </w:rPr>
        <w:t>轉</w:t>
      </w:r>
      <w:r>
        <w:rPr>
          <w:b w:val="false"/>
          <w:i w:val="false"/>
          <w:caps w:val="false"/>
          <w:smallCaps w:val="false"/>
          <w:color w:val="000000"/>
          <w:spacing w:val="0"/>
          <w:sz w:val="24"/>
        </w:rPr>
        <w:t>478</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＊傳真：</w:t>
      </w:r>
      <w:r>
        <w:rPr>
          <w:b w:val="false"/>
          <w:i w:val="false"/>
          <w:caps w:val="false"/>
          <w:smallCaps w:val="false"/>
          <w:color w:val="000000"/>
          <w:spacing w:val="0"/>
          <w:sz w:val="24"/>
        </w:rPr>
        <w:t>03-8234766</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＊電子信箱：</w:t>
      </w:r>
      <w:r>
        <w:rPr>
          <w:b w:val="false"/>
          <w:i w:val="false"/>
          <w:caps w:val="false"/>
          <w:smallCaps w:val="false"/>
          <w:color w:val="000000"/>
          <w:spacing w:val="0"/>
          <w:sz w:val="24"/>
        </w:rPr>
        <w:t>la6799@hl.gov.tw</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二、發布形式</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＊口頭：</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 </w:t>
      </w:r>
      <w:r>
        <w:rPr>
          <w:b w:val="false"/>
          <w:i w:val="false"/>
          <w:caps w:val="false"/>
          <w:smallCaps w:val="false"/>
          <w:color w:val="000000"/>
          <w:spacing w:val="0"/>
          <w:sz w:val="24"/>
        </w:rPr>
        <w:t>記者會或說明會</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＊書面：</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 </w:t>
      </w:r>
      <w:r>
        <w:rPr>
          <w:b w:val="false"/>
          <w:i w:val="false"/>
          <w:caps w:val="false"/>
          <w:smallCaps w:val="false"/>
          <w:color w:val="000000"/>
          <w:spacing w:val="0"/>
          <w:sz w:val="24"/>
        </w:rPr>
        <w:t>新聞稿</w:t>
      </w:r>
      <w:r>
        <w:rPr>
          <w:b w:val="false"/>
          <w:i w:val="false"/>
          <w:caps w:val="false"/>
          <w:smallCaps w:val="false"/>
          <w:color w:val="000000"/>
          <w:spacing w:val="0"/>
          <w:sz w:val="24"/>
        </w:rPr>
        <w:t xml:space="preserve">( V ) </w:t>
      </w:r>
      <w:r>
        <w:rPr>
          <w:b w:val="false"/>
          <w:i w:val="false"/>
          <w:caps w:val="false"/>
          <w:smallCaps w:val="false"/>
          <w:color w:val="000000"/>
          <w:spacing w:val="0"/>
          <w:sz w:val="24"/>
        </w:rPr>
        <w:t>報表</w:t>
      </w:r>
      <w:r>
        <w:rPr>
          <w:b w:val="false"/>
          <w:i w:val="false"/>
          <w:caps w:val="false"/>
          <w:smallCaps w:val="false"/>
          <w:color w:val="000000"/>
          <w:spacing w:val="0"/>
          <w:sz w:val="24"/>
        </w:rPr>
        <w:t xml:space="preserve">( ) </w:t>
      </w:r>
      <w:r>
        <w:rPr>
          <w:b w:val="false"/>
          <w:i w:val="false"/>
          <w:caps w:val="false"/>
          <w:smallCaps w:val="false"/>
          <w:color w:val="000000"/>
          <w:spacing w:val="0"/>
          <w:sz w:val="24"/>
        </w:rPr>
        <w:t>書刊，刊名：</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＊電子媒體：</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V ) </w:t>
      </w:r>
      <w:r>
        <w:rPr>
          <w:b w:val="false"/>
          <w:i w:val="false"/>
          <w:caps w:val="false"/>
          <w:smallCaps w:val="false"/>
          <w:color w:val="000000"/>
          <w:spacing w:val="0"/>
          <w:sz w:val="24"/>
        </w:rPr>
        <w:t>線上書刊及資料庫，網址：</w:t>
      </w:r>
      <w:r>
        <w:rPr>
          <w:b w:val="false"/>
          <w:i w:val="false"/>
          <w:caps w:val="false"/>
          <w:smallCaps w:val="false"/>
          <w:color w:val="000000"/>
          <w:spacing w:val="0"/>
          <w:sz w:val="24"/>
        </w:rPr>
        <w:t>https://hl.dgbas.gov.tw/STATWeb/Page/stat01_1.aspx?Mid=15006</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 </w:t>
      </w:r>
      <w:r>
        <w:rPr>
          <w:b w:val="false"/>
          <w:i w:val="false"/>
          <w:caps w:val="false"/>
          <w:smallCaps w:val="false"/>
          <w:color w:val="000000"/>
          <w:spacing w:val="0"/>
          <w:sz w:val="24"/>
        </w:rPr>
        <w:t>磁片</w:t>
      </w:r>
      <w:r>
        <w:rPr>
          <w:b w:val="false"/>
          <w:i w:val="false"/>
          <w:caps w:val="false"/>
          <w:smallCaps w:val="false"/>
          <w:color w:val="000000"/>
          <w:spacing w:val="0"/>
          <w:sz w:val="24"/>
        </w:rPr>
        <w:t xml:space="preserve">( ) </w:t>
      </w:r>
      <w:r>
        <w:rPr>
          <w:b w:val="false"/>
          <w:i w:val="false"/>
          <w:caps w:val="false"/>
          <w:smallCaps w:val="false"/>
          <w:color w:val="000000"/>
          <w:spacing w:val="0"/>
          <w:sz w:val="24"/>
        </w:rPr>
        <w:t>光碟片</w:t>
      </w:r>
      <w:r>
        <w:rPr>
          <w:b w:val="false"/>
          <w:i w:val="false"/>
          <w:caps w:val="false"/>
          <w:smallCaps w:val="false"/>
          <w:color w:val="000000"/>
          <w:spacing w:val="0"/>
          <w:sz w:val="24"/>
        </w:rPr>
        <w:t xml:space="preserve">( ) </w:t>
      </w:r>
      <w:r>
        <w:rPr>
          <w:b w:val="false"/>
          <w:i w:val="false"/>
          <w:caps w:val="false"/>
          <w:smallCaps w:val="false"/>
          <w:color w:val="000000"/>
          <w:spacing w:val="0"/>
          <w:sz w:val="24"/>
        </w:rPr>
        <w:t>其他，</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其他說明：</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三、資料範圍、周期及時效</w:t>
      </w:r>
    </w:p>
    <w:p>
      <w:pPr>
        <w:pStyle w:val="Normal"/>
        <w:widowControl/>
        <w:ind w:hanging="0" w:left="0" w:right="0"/>
        <w:rPr/>
      </w:pPr>
      <w:r>
        <w:rPr>
          <w:b w:val="false"/>
          <w:i w:val="false"/>
          <w:caps w:val="false"/>
          <w:smallCaps w:val="false"/>
          <w:color w:val="000000"/>
          <w:spacing w:val="0"/>
          <w:sz w:val="24"/>
        </w:rPr>
        <w:t>＊資料說明： 請參考 </w:t>
      </w:r>
      <w:hyperlink r:id="rId2">
        <w:r>
          <w:rPr>
            <w:rStyle w:val="Hyperlink"/>
            <w:b w:val="false"/>
            <w:i w:val="false"/>
            <w:caps w:val="false"/>
            <w:smallCaps w:val="false"/>
            <w:color w:val="000000"/>
            <w:spacing w:val="0"/>
            <w:sz w:val="24"/>
          </w:rPr>
          <w:t>報表程式</w:t>
        </w:r>
      </w:hyperlink>
      <w:r>
        <w:rPr>
          <w:b w:val="false"/>
          <w:i w:val="false"/>
          <w:caps w:val="false"/>
          <w:smallCaps w:val="false"/>
          <w:color w:val="000000"/>
          <w:spacing w:val="0"/>
          <w:sz w:val="24"/>
        </w:rPr>
        <w:t>、</w:t>
      </w:r>
      <w:hyperlink r:id="rId3">
        <w:r>
          <w:rPr>
            <w:rStyle w:val="Hyperlink"/>
            <w:b w:val="false"/>
            <w:i w:val="false"/>
            <w:caps w:val="false"/>
            <w:smallCaps w:val="false"/>
            <w:color w:val="000000"/>
            <w:spacing w:val="0"/>
            <w:sz w:val="24"/>
          </w:rPr>
          <w:t>編製說明</w:t>
        </w:r>
      </w:hyperlink>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＊發布週期</w:t>
      </w:r>
      <w:r>
        <w:rPr>
          <w:b w:val="false"/>
          <w:i w:val="false"/>
          <w:caps w:val="false"/>
          <w:smallCaps w:val="false"/>
          <w:color w:val="000000"/>
          <w:spacing w:val="0"/>
          <w:sz w:val="24"/>
        </w:rPr>
        <w:t>(</w:t>
      </w:r>
      <w:r>
        <w:rPr>
          <w:b w:val="false"/>
          <w:i w:val="false"/>
          <w:caps w:val="false"/>
          <w:smallCaps w:val="false"/>
          <w:color w:val="000000"/>
          <w:spacing w:val="0"/>
          <w:sz w:val="24"/>
        </w:rPr>
        <w:t>指資料編製或產生之頻率，如月、季、年等</w:t>
      </w:r>
      <w:r>
        <w:rPr>
          <w:b w:val="false"/>
          <w:i w:val="false"/>
          <w:caps w:val="false"/>
          <w:smallCaps w:val="false"/>
          <w:color w:val="000000"/>
          <w:spacing w:val="0"/>
          <w:sz w:val="24"/>
        </w:rPr>
        <w:t>)</w:t>
      </w:r>
      <w:r>
        <w:rPr>
          <w:b w:val="false"/>
          <w:i w:val="false"/>
          <w:caps w:val="false"/>
          <w:smallCaps w:val="false"/>
          <w:color w:val="000000"/>
          <w:spacing w:val="0"/>
          <w:sz w:val="24"/>
        </w:rPr>
        <w:t>：月</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＊時效</w:t>
      </w:r>
      <w:r>
        <w:rPr>
          <w:b w:val="false"/>
          <w:i w:val="false"/>
          <w:caps w:val="false"/>
          <w:smallCaps w:val="false"/>
          <w:color w:val="000000"/>
          <w:spacing w:val="0"/>
          <w:sz w:val="24"/>
        </w:rPr>
        <w:t>(</w:t>
      </w:r>
      <w:r>
        <w:rPr>
          <w:b w:val="false"/>
          <w:i w:val="false"/>
          <w:caps w:val="false"/>
          <w:smallCaps w:val="false"/>
          <w:color w:val="000000"/>
          <w:spacing w:val="0"/>
          <w:sz w:val="24"/>
        </w:rPr>
        <w:t>指統計標準時間至資料發布時間之間隔時間</w:t>
      </w:r>
      <w:r>
        <w:rPr>
          <w:b w:val="false"/>
          <w:i w:val="false"/>
          <w:caps w:val="false"/>
          <w:smallCaps w:val="false"/>
          <w:color w:val="000000"/>
          <w:spacing w:val="0"/>
          <w:sz w:val="24"/>
        </w:rPr>
        <w:t>)</w:t>
      </w:r>
      <w:r>
        <w:rPr>
          <w:b w:val="false"/>
          <w:i w:val="false"/>
          <w:caps w:val="false"/>
          <w:smallCaps w:val="false"/>
          <w:color w:val="000000"/>
          <w:spacing w:val="0"/>
          <w:sz w:val="24"/>
        </w:rPr>
        <w:t>：</w:t>
      </w:r>
      <w:r>
        <w:rPr>
          <w:b w:val="false"/>
          <w:i w:val="false"/>
          <w:caps w:val="false"/>
          <w:smallCaps w:val="false"/>
          <w:color w:val="000000"/>
          <w:spacing w:val="0"/>
          <w:sz w:val="24"/>
        </w:rPr>
        <w:t>15</w:t>
      </w:r>
      <w:r>
        <w:rPr>
          <w:b w:val="false"/>
          <w:i w:val="false"/>
          <w:caps w:val="false"/>
          <w:smallCaps w:val="false"/>
          <w:color w:val="000000"/>
          <w:spacing w:val="0"/>
          <w:sz w:val="24"/>
        </w:rPr>
        <w:t>日</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＊資料變革：</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無</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pPr>
      <w:r>
        <w:rPr/>
        <w:t>四、公開資料發布訊息</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＊預告發布日期：每月終了後</w:t>
      </w:r>
      <w:r>
        <w:rPr>
          <w:b w:val="false"/>
          <w:i w:val="false"/>
          <w:caps w:val="false"/>
          <w:smallCaps w:val="false"/>
          <w:color w:val="000000"/>
          <w:spacing w:val="0"/>
          <w:sz w:val="24"/>
        </w:rPr>
        <w:t>15</w:t>
      </w:r>
      <w:r>
        <w:rPr>
          <w:b w:val="false"/>
          <w:i w:val="false"/>
          <w:caps w:val="false"/>
          <w:smallCaps w:val="false"/>
          <w:color w:val="000000"/>
          <w:spacing w:val="0"/>
          <w:sz w:val="24"/>
        </w:rPr>
        <w:t>日內以公務統計報表發布，公布日期上載於花蓮縣政府統計資訊服務網之「預告統計資料發布時間表」。</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＊同步發送單位：花蓮縣政府主計處及花蓮縣政府地政處。</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bCs w:val="false"/>
          <w:i w:val="false"/>
          <w:i w:val="false"/>
          <w:iCs w:val="false"/>
          <w:caps w:val="false"/>
          <w:smallCaps w:val="false"/>
          <w:color w:val="000000"/>
          <w:spacing w:val="0"/>
          <w:sz w:val="24"/>
          <w:szCs w:val="24"/>
        </w:rPr>
      </w:pPr>
      <w:r>
        <w:rPr>
          <w:b w:val="false"/>
          <w:bCs w:val="false"/>
          <w:i w:val="false"/>
          <w:iCs w:val="false"/>
          <w:caps w:val="false"/>
          <w:smallCaps w:val="false"/>
          <w:color w:val="000000"/>
          <w:spacing w:val="0"/>
          <w:sz w:val="24"/>
          <w:szCs w:val="24"/>
        </w:rPr>
        <w:t>五、資料品質</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＊統計指標編制方法與資料來源說明：</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本縣地籍科依據各地政事務所因民眾申辦土地登記案件替代檢附印鑑證明各項措施之資料，予以彙編。</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＊統計資料交叉查核及確保資料合理性之機制：</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依上述之統計項目定義，採電腦作業且具查核機制，以確定資料之合理性。</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bCs w:val="false"/>
          <w:i w:val="false"/>
          <w:i w:val="false"/>
          <w:iCs w:val="false"/>
          <w:caps w:val="false"/>
          <w:smallCaps w:val="false"/>
          <w:color w:val="000000"/>
          <w:spacing w:val="0"/>
          <w:sz w:val="24"/>
          <w:szCs w:val="24"/>
        </w:rPr>
      </w:pPr>
      <w:r>
        <w:rPr>
          <w:b w:val="false"/>
          <w:bCs w:val="false"/>
          <w:i w:val="false"/>
          <w:iCs w:val="false"/>
          <w:caps w:val="false"/>
          <w:smallCaps w:val="false"/>
          <w:color w:val="000000"/>
          <w:spacing w:val="0"/>
          <w:sz w:val="24"/>
          <w:szCs w:val="24"/>
        </w:rPr>
        <w:t>六、須注意及預告改變之事項：</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無。</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bCs w:val="false"/>
          <w:i w:val="false"/>
          <w:i w:val="false"/>
          <w:iCs w:val="false"/>
          <w:caps w:val="false"/>
          <w:smallCaps w:val="false"/>
          <w:color w:val="000000"/>
          <w:spacing w:val="0"/>
          <w:sz w:val="24"/>
          <w:szCs w:val="24"/>
        </w:rPr>
      </w:pPr>
      <w:r>
        <w:rPr>
          <w:b w:val="false"/>
          <w:bCs w:val="false"/>
          <w:i w:val="false"/>
          <w:iCs w:val="false"/>
          <w:caps w:val="false"/>
          <w:smallCaps w:val="false"/>
          <w:color w:val="000000"/>
          <w:spacing w:val="0"/>
          <w:sz w:val="24"/>
          <w:szCs w:val="24"/>
        </w:rPr>
        <w:t>七、其他事項：</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無。</w:t>
      </w:r>
    </w:p>
    <w:p>
      <w:pPr>
        <w:sectPr>
          <w:type w:val="continuous"/>
          <w:pgSz w:w="11906" w:h="16838"/>
          <w:pgMar w:left="1080" w:right="1080" w:gutter="0" w:header="0" w:top="1440" w:footer="0" w:bottom="1440"/>
          <w:formProt w:val="false"/>
          <w:textDirection w:val="lrTb"/>
          <w:docGrid w:type="lines" w:linePitch="360" w:charSpace="0"/>
        </w:sectPr>
      </w:pPr>
    </w:p>
    <w:p>
      <w:pPr>
        <w:pStyle w:val="Normal"/>
        <w:spacing w:lineRule="atLeast" w:line="240"/>
        <w:jc w:val="center"/>
        <w:rPr>
          <w:b/>
          <w:bCs/>
          <w:spacing w:val="-4"/>
          <w:szCs w:val="24"/>
        </w:rPr>
      </w:pPr>
      <w:r>
        <w:rPr/>
      </w:r>
    </w:p>
    <w:sectPr>
      <w:type w:val="continuous"/>
      <w:pgSz w:w="11906" w:h="16838"/>
      <w:pgMar w:left="1080" w:right="1080" w:gutter="0" w:header="0" w:top="1440" w:footer="0" w:bottom="144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標楷體">
    <w:charset w:val="88"/>
    <w:family w:val="roman"/>
    <w:pitch w:val="variable"/>
  </w:font>
  <w:font w:name="細明體">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40"/>
  <w:defaultTabStop w:val="48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 w:asciiTheme="minorHAnsi" w:cstheme="minorBidi" w:eastAsiaTheme="minorEastAsia" w:hAnsiTheme="minorHAnsi"/>
        <w:kern w:val="2"/>
        <w:sz w:val="24"/>
        <w:szCs w:val="22"/>
        <w:lang w:val="en-US" w:eastAsia="zh-TW"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43fc"/>
    <w:pPr>
      <w:widowControl w:val="false"/>
      <w:bidi w:val="0"/>
      <w:spacing w:before="0" w:after="0"/>
      <w:jc w:val="left"/>
    </w:pPr>
    <w:rPr>
      <w:rFonts w:ascii="標楷體" w:hAnsi="標楷體" w:eastAsia="標楷體" w:cs="Times New Roman"/>
      <w:color w:val="auto"/>
      <w:kern w:val="2"/>
      <w:sz w:val="24"/>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純文字 字元"/>
    <w:basedOn w:val="DefaultParagraphFont"/>
    <w:link w:val="PlainText"/>
    <w:qFormat/>
    <w:rsid w:val="002243fc"/>
    <w:rPr>
      <w:rFonts w:ascii="細明體" w:hAnsi="細明體" w:eastAsia="細明體" w:cs="Times New Roman"/>
      <w:szCs w:val="20"/>
    </w:rPr>
  </w:style>
  <w:style w:type="character" w:styleId="Style15" w:customStyle="1">
    <w:name w:val="頁首 字元"/>
    <w:basedOn w:val="DefaultParagraphFont"/>
    <w:uiPriority w:val="99"/>
    <w:qFormat/>
    <w:rsid w:val="00dc4425"/>
    <w:rPr>
      <w:rFonts w:ascii="標楷體" w:hAnsi="標楷體" w:eastAsia="標楷體" w:cs="Times New Roman"/>
      <w:sz w:val="20"/>
      <w:szCs w:val="20"/>
    </w:rPr>
  </w:style>
  <w:style w:type="character" w:styleId="Style16" w:customStyle="1">
    <w:name w:val="頁尾 字元"/>
    <w:basedOn w:val="DefaultParagraphFont"/>
    <w:uiPriority w:val="99"/>
    <w:qFormat/>
    <w:rsid w:val="00dc4425"/>
    <w:rPr>
      <w:rFonts w:ascii="標楷體" w:hAnsi="標楷體" w:eastAsia="標楷體" w:cs="Times New Roman"/>
      <w:sz w:val="20"/>
      <w:szCs w:val="20"/>
    </w:rPr>
  </w:style>
  <w:style w:type="character" w:styleId="Hyperlink">
    <w:name w:val="Hyperlink"/>
    <w:rPr>
      <w:color w:val="000080"/>
      <w:u w:val="single"/>
    </w:rPr>
  </w:style>
  <w:style w:type="paragraph" w:styleId="Style17">
    <w:name w:val="標題"/>
    <w:basedOn w:val="Normal"/>
    <w:next w:val="BodyText"/>
    <w:qFormat/>
    <w:pPr>
      <w:keepNext w:val="true"/>
      <w:spacing w:before="240" w:after="120"/>
    </w:pPr>
    <w:rPr>
      <w:rFonts w:ascii="Liberation Sans" w:hAnsi="Liberation Sans" w:eastAsia="Noto Sans T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Unicode MS"/>
    </w:rPr>
  </w:style>
  <w:style w:type="paragraph" w:styleId="PlainText">
    <w:name w:val="Plain Text"/>
    <w:basedOn w:val="Normal"/>
    <w:link w:val="Style14"/>
    <w:qFormat/>
    <w:rsid w:val="002243fc"/>
    <w:pPr/>
    <w:rPr>
      <w:rFonts w:ascii="細明體" w:hAnsi="細明體" w:eastAsia="細明體"/>
      <w:szCs w:val="20"/>
    </w:rPr>
  </w:style>
  <w:style w:type="paragraph" w:styleId="ListParagraph">
    <w:name w:val="List Paragraph"/>
    <w:basedOn w:val="Normal"/>
    <w:uiPriority w:val="34"/>
    <w:qFormat/>
    <w:rsid w:val="00d86967"/>
    <w:pPr>
      <w:ind w:left="480"/>
    </w:pPr>
    <w:rPr/>
  </w:style>
  <w:style w:type="paragraph" w:styleId="Style19">
    <w:name w:val="頁首與頁尾"/>
    <w:basedOn w:val="Normal"/>
    <w:qFormat/>
    <w:pPr/>
    <w:rPr/>
  </w:style>
  <w:style w:type="paragraph" w:styleId="Header">
    <w:name w:val="Header"/>
    <w:basedOn w:val="Normal"/>
    <w:link w:val="Style15"/>
    <w:uiPriority w:val="99"/>
    <w:unhideWhenUsed/>
    <w:rsid w:val="00dc4425"/>
    <w:pPr>
      <w:tabs>
        <w:tab w:val="clear" w:pos="480"/>
        <w:tab w:val="center" w:pos="4153" w:leader="none"/>
        <w:tab w:val="right" w:pos="8306" w:leader="none"/>
      </w:tabs>
      <w:snapToGrid w:val="false"/>
    </w:pPr>
    <w:rPr>
      <w:sz w:val="20"/>
      <w:szCs w:val="20"/>
    </w:rPr>
  </w:style>
  <w:style w:type="paragraph" w:styleId="Footer">
    <w:name w:val="Footer"/>
    <w:basedOn w:val="Normal"/>
    <w:link w:val="Style16"/>
    <w:uiPriority w:val="99"/>
    <w:unhideWhenUsed/>
    <w:rsid w:val="00dc4425"/>
    <w:pPr>
      <w:tabs>
        <w:tab w:val="clear" w:pos="480"/>
        <w:tab w:val="center" w:pos="4153" w:leader="none"/>
        <w:tab w:val="right" w:pos="8306" w:leader="none"/>
      </w:tabs>
      <w:snapToGrid w:val="false"/>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l.dgbas.gov.tw/STATWeb/Page/HitCount.aspx?PageName=DefendReport&amp;PageNameC=&#20844;&#21209;&#32113;&#35336;&#26041;&#26696;&#26597;&#35426;&amp;Mid=11285&amp;ItemName=BgShow" TargetMode="External"/><Relationship Id="rId3" Type="http://schemas.openxmlformats.org/officeDocument/2006/relationships/hyperlink" Target="https://hl.dgbas.gov.tw/STATWeb/Page/HitCount.aspx?PageName=Stat13b&amp;PageNameC=&#20844;&#21209;&#32113;&#35336;&#26041;&#26696;&#26597;&#35426;&#32232;&#21046;&#35498;&#26126;&amp;Mid=11285&amp;ItemName=1112-94-02-2(E).doc&amp;FileLinkSheetName=SDB_ReportMode2"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138</TotalTime>
  <Application>LibreOffice/7.6.7.2$Windows_X86_64 LibreOffice_project/dd47e4b30cb7dab30588d6c79c651f218165e3c5</Application>
  <AppVersion>15.0000</AppVersion>
  <Pages>2</Pages>
  <Words>549</Words>
  <Characters>654</Characters>
  <CharactersWithSpaces>675</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2021-02-04T08:28:00Z</dcterms:created>
  <dc:creator>冠宏 鄭</dc:creator>
  <dc:description/>
  <dc:language>zh-TW</dc:language>
  <cp:lastModifiedBy/>
  <dcterms:modified xsi:type="dcterms:W3CDTF">2026-04-22T11:08:55Z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file>